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4D38" w14:textId="6AECC9FD" w:rsidR="009309FA" w:rsidRPr="009309FA" w:rsidRDefault="00A26EB3"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1</w:t>
      </w:r>
      <w:r w:rsidR="00E853D7" w:rsidRPr="004B038D">
        <w:rPr>
          <w:rFonts w:asciiTheme="majorHAnsi" w:eastAsiaTheme="majorEastAsia" w:hAnsiTheme="majorHAnsi" w:cstheme="majorBidi"/>
          <w:color w:val="2E74B5" w:themeColor="accent1" w:themeShade="BF"/>
          <w:sz w:val="32"/>
          <w:szCs w:val="32"/>
        </w:rPr>
        <w:t>½"</w:t>
      </w:r>
      <w:r w:rsidR="00F62838">
        <w:rPr>
          <w:rFonts w:asciiTheme="majorHAnsi" w:eastAsiaTheme="majorEastAsia" w:hAnsiTheme="majorHAnsi" w:cstheme="majorBidi"/>
          <w:color w:val="2E74B5" w:themeColor="accent1" w:themeShade="BF"/>
          <w:sz w:val="32"/>
          <w:szCs w:val="32"/>
        </w:rPr>
        <w:t xml:space="preserve"> </w:t>
      </w:r>
      <w:r w:rsidR="007D63D9">
        <w:rPr>
          <w:rFonts w:asciiTheme="majorHAnsi" w:eastAsiaTheme="majorEastAsia" w:hAnsiTheme="majorHAnsi" w:cstheme="majorBidi"/>
          <w:color w:val="2E74B5" w:themeColor="accent1" w:themeShade="BF"/>
          <w:sz w:val="32"/>
          <w:szCs w:val="32"/>
        </w:rPr>
        <w:t xml:space="preserve">and </w:t>
      </w:r>
      <w:r w:rsidR="00F62838">
        <w:rPr>
          <w:rFonts w:asciiTheme="majorHAnsi" w:eastAsiaTheme="majorEastAsia" w:hAnsiTheme="majorHAnsi" w:cstheme="majorBidi"/>
          <w:color w:val="2E74B5" w:themeColor="accent1" w:themeShade="BF"/>
          <w:sz w:val="32"/>
          <w:szCs w:val="32"/>
        </w:rPr>
        <w:t>2</w:t>
      </w:r>
      <w:r w:rsidR="00E853D7">
        <w:rPr>
          <w:rFonts w:ascii="Calibri Light" w:eastAsiaTheme="majorEastAsia" w:hAnsi="Calibri Light" w:cs="Calibri Light"/>
          <w:color w:val="2E74B5" w:themeColor="accent1" w:themeShade="BF"/>
          <w:sz w:val="32"/>
          <w:szCs w:val="32"/>
        </w:rPr>
        <w:t>"</w:t>
      </w:r>
      <w:r>
        <w:rPr>
          <w:rFonts w:asciiTheme="majorHAnsi" w:eastAsiaTheme="majorEastAsia" w:hAnsiTheme="majorHAnsi" w:cstheme="majorBidi"/>
          <w:color w:val="2E74B5" w:themeColor="accent1" w:themeShade="BF"/>
          <w:sz w:val="32"/>
          <w:szCs w:val="32"/>
        </w:rPr>
        <w:t xml:space="preserve"> P</w:t>
      </w:r>
      <w:r w:rsidR="00633AD9">
        <w:rPr>
          <w:rFonts w:asciiTheme="majorHAnsi" w:eastAsiaTheme="majorEastAsia" w:hAnsiTheme="majorHAnsi" w:cstheme="majorBidi"/>
          <w:color w:val="2E74B5" w:themeColor="accent1" w:themeShade="BF"/>
          <w:sz w:val="32"/>
          <w:szCs w:val="32"/>
        </w:rPr>
        <w:t>GV</w:t>
      </w:r>
      <w:r>
        <w:rPr>
          <w:rFonts w:asciiTheme="majorHAnsi" w:eastAsiaTheme="majorEastAsia" w:hAnsiTheme="majorHAnsi" w:cstheme="majorBidi"/>
          <w:color w:val="2E74B5" w:themeColor="accent1" w:themeShade="BF"/>
          <w:sz w:val="32"/>
          <w:szCs w:val="32"/>
        </w:rPr>
        <w:t xml:space="preserve"> </w:t>
      </w:r>
      <w:r w:rsidR="00633AD9">
        <w:rPr>
          <w:rFonts w:asciiTheme="majorHAnsi" w:eastAsiaTheme="majorEastAsia" w:hAnsiTheme="majorHAnsi" w:cstheme="majorBidi"/>
          <w:color w:val="2E74B5" w:themeColor="accent1" w:themeShade="BF"/>
          <w:sz w:val="32"/>
          <w:szCs w:val="32"/>
        </w:rPr>
        <w:t xml:space="preserve">Irrigation Control Valve </w:t>
      </w:r>
      <w:r w:rsidR="004B038D">
        <w:rPr>
          <w:rFonts w:asciiTheme="majorHAnsi" w:eastAsiaTheme="majorEastAsia" w:hAnsiTheme="majorHAnsi" w:cstheme="majorBidi"/>
          <w:color w:val="2E74B5" w:themeColor="accent1" w:themeShade="BF"/>
          <w:sz w:val="32"/>
          <w:szCs w:val="32"/>
        </w:rPr>
        <w:t xml:space="preserve">Written </w:t>
      </w:r>
      <w:r w:rsidR="00633AD9">
        <w:rPr>
          <w:rFonts w:asciiTheme="majorHAnsi" w:eastAsiaTheme="majorEastAsia" w:hAnsiTheme="majorHAnsi" w:cstheme="majorBidi"/>
          <w:color w:val="2E74B5" w:themeColor="accent1" w:themeShade="BF"/>
          <w:sz w:val="32"/>
          <w:szCs w:val="32"/>
        </w:rPr>
        <w:t>Specification</w:t>
      </w:r>
      <w:r w:rsidR="004B038D">
        <w:rPr>
          <w:rFonts w:asciiTheme="majorHAnsi" w:eastAsiaTheme="majorEastAsia" w:hAnsiTheme="majorHAnsi" w:cstheme="majorBidi"/>
          <w:color w:val="2E74B5" w:themeColor="accent1" w:themeShade="BF"/>
          <w:sz w:val="32"/>
          <w:szCs w:val="32"/>
        </w:rPr>
        <w:t>s</w:t>
      </w:r>
      <w:r w:rsidR="009309FA">
        <w:rPr>
          <w:rFonts w:asciiTheme="majorHAnsi" w:eastAsiaTheme="majorEastAsia" w:hAnsiTheme="majorHAnsi" w:cstheme="majorBidi"/>
          <w:color w:val="2E74B5" w:themeColor="accent1" w:themeShade="BF"/>
          <w:sz w:val="32"/>
          <w:szCs w:val="32"/>
        </w:rPr>
        <w:t xml:space="preserve">  </w:t>
      </w:r>
    </w:p>
    <w:p w14:paraId="4E522161" w14:textId="77777777" w:rsidR="007760C8" w:rsidRDefault="007760C8"/>
    <w:p w14:paraId="3FD75D61" w14:textId="77777777" w:rsidR="009309FA" w:rsidRDefault="009309FA" w:rsidP="009309FA">
      <w:pPr>
        <w:rPr>
          <w:b/>
        </w:rPr>
      </w:pPr>
      <w:r>
        <w:rPr>
          <w:b/>
        </w:rPr>
        <w:t>Part 1 – General</w:t>
      </w:r>
    </w:p>
    <w:p w14:paraId="44263598" w14:textId="3FFBC4EA" w:rsidR="00BB2FCD" w:rsidRDefault="009309FA" w:rsidP="009309FA">
      <w:r w:rsidRPr="005E3103">
        <w:t>1.1</w:t>
      </w:r>
      <w:r>
        <w:rPr>
          <w:b/>
        </w:rPr>
        <w:t xml:space="preserve">  </w:t>
      </w:r>
      <w:r w:rsidR="00CE14BB">
        <w:t>The valve shall be a 1</w:t>
      </w:r>
      <w:r w:rsidR="00E853D7">
        <w:t>½</w:t>
      </w:r>
      <w:r w:rsidR="00E853D7">
        <w:rPr>
          <w:rFonts w:ascii="Calibri" w:hAnsi="Calibri" w:cs="Calibri"/>
        </w:rPr>
        <w:t>"</w:t>
      </w:r>
      <w:r w:rsidR="00F62838">
        <w:t xml:space="preserve"> </w:t>
      </w:r>
      <w:r w:rsidR="004B038D">
        <w:t xml:space="preserve">(40 mm) </w:t>
      </w:r>
      <w:r w:rsidR="00F62838">
        <w:t>or 2</w:t>
      </w:r>
      <w:r w:rsidR="00E853D7">
        <w:rPr>
          <w:rFonts w:ascii="Calibri" w:hAnsi="Calibri" w:cs="Calibri"/>
        </w:rPr>
        <w:t>"</w:t>
      </w:r>
      <w:r w:rsidR="00CE14BB">
        <w:t xml:space="preserve"> </w:t>
      </w:r>
      <w:r w:rsidR="004B038D">
        <w:t xml:space="preserve">(50 mm) </w:t>
      </w:r>
      <w:r w:rsidR="00CE14BB">
        <w:t>solenoid operated irrigation control valve available in a design utilizing bonnet bolts. The v</w:t>
      </w:r>
      <w:bookmarkStart w:id="0" w:name="_GoBack"/>
      <w:bookmarkEnd w:id="0"/>
      <w:r w:rsidR="00CE14BB">
        <w:t>alve shall accept a Hunter AC or DC solenoid.</w:t>
      </w:r>
    </w:p>
    <w:p w14:paraId="08E2DC84" w14:textId="77777777" w:rsidR="009309FA" w:rsidRDefault="00AB6EE3" w:rsidP="009309FA">
      <w:pPr>
        <w:rPr>
          <w:b/>
        </w:rPr>
      </w:pPr>
      <w:r>
        <w:rPr>
          <w:b/>
        </w:rPr>
        <w:t>Part 2</w:t>
      </w:r>
      <w:r w:rsidR="009309FA">
        <w:rPr>
          <w:b/>
        </w:rPr>
        <w:t xml:space="preserve"> – </w:t>
      </w:r>
      <w:r w:rsidR="00FB35FA">
        <w:rPr>
          <w:b/>
        </w:rPr>
        <w:t>Parts an</w:t>
      </w:r>
      <w:r w:rsidR="00F62757">
        <w:rPr>
          <w:b/>
        </w:rPr>
        <w:t>d</w:t>
      </w:r>
      <w:r w:rsidR="00FB35FA">
        <w:rPr>
          <w:b/>
        </w:rPr>
        <w:t xml:space="preserve"> Material</w:t>
      </w:r>
    </w:p>
    <w:p w14:paraId="023274B2" w14:textId="2FB591CA" w:rsidR="009309FA" w:rsidRDefault="009309FA" w:rsidP="009309FA">
      <w:r>
        <w:t>2</w:t>
      </w:r>
      <w:r w:rsidRPr="005E3103">
        <w:t>.1</w:t>
      </w:r>
      <w:r>
        <w:rPr>
          <w:b/>
        </w:rPr>
        <w:t xml:space="preserve">  </w:t>
      </w:r>
      <w:r w:rsidR="00144E94">
        <w:t>1</w:t>
      </w:r>
      <w:r w:rsidR="00BD4746">
        <w:t>½</w:t>
      </w:r>
      <w:r w:rsidR="00E853D7">
        <w:rPr>
          <w:rFonts w:ascii="Calibri" w:hAnsi="Calibri" w:cs="Calibri"/>
        </w:rPr>
        <w:t>"</w:t>
      </w:r>
      <w:r w:rsidR="00BD4746">
        <w:t xml:space="preserve"> </w:t>
      </w:r>
      <w:r w:rsidR="004B038D">
        <w:t xml:space="preserve">(40 mm) </w:t>
      </w:r>
      <w:r w:rsidR="00D405CB">
        <w:t xml:space="preserve">and </w:t>
      </w:r>
      <w:r w:rsidR="00BD4746">
        <w:t>2</w:t>
      </w:r>
      <w:r w:rsidR="00E853D7">
        <w:rPr>
          <w:rFonts w:ascii="Calibri" w:hAnsi="Calibri" w:cs="Calibri"/>
        </w:rPr>
        <w:t>"</w:t>
      </w:r>
      <w:r w:rsidR="00BD4746">
        <w:t xml:space="preserve"> </w:t>
      </w:r>
      <w:r w:rsidR="004B038D">
        <w:t xml:space="preserve">(50 mm) </w:t>
      </w:r>
      <w:r w:rsidR="00144E94">
        <w:t>PGV v</w:t>
      </w:r>
      <w:r w:rsidR="00C805C2">
        <w:t>alves</w:t>
      </w:r>
      <w:r>
        <w:t xml:space="preserve"> </w:t>
      </w:r>
      <w:r w:rsidR="0050797F">
        <w:t>s</w:t>
      </w:r>
      <w:r>
        <w:t>hall be available</w:t>
      </w:r>
      <w:r w:rsidR="00BB2FCD">
        <w:t xml:space="preserve"> in </w:t>
      </w:r>
      <w:r>
        <w:t>the following options</w:t>
      </w:r>
      <w:r w:rsidR="00E853D7">
        <w:t>:</w:t>
      </w:r>
    </w:p>
    <w:p w14:paraId="64B381BD" w14:textId="3282B12D" w:rsidR="00144E94" w:rsidRDefault="009309FA" w:rsidP="00F81F28">
      <w:pPr>
        <w:ind w:left="720"/>
      </w:pPr>
      <w:r>
        <w:t xml:space="preserve">A. </w:t>
      </w:r>
      <w:r w:rsidR="009435CD">
        <w:t xml:space="preserve">With </w:t>
      </w:r>
      <w:r w:rsidR="00BB6A73">
        <w:t xml:space="preserve">standard </w:t>
      </w:r>
      <w:r w:rsidR="009435CD">
        <w:t>flow control, globe</w:t>
      </w:r>
      <w:r w:rsidR="00BB6A73">
        <w:t>/angle</w:t>
      </w:r>
      <w:r w:rsidR="009435CD">
        <w:t xml:space="preserve"> valve configuration, NPT </w:t>
      </w:r>
      <w:r w:rsidR="00F81F28">
        <w:t xml:space="preserve">or BSP </w:t>
      </w:r>
      <w:r w:rsidR="009435CD">
        <w:t>threads, AC or DC solenoid.</w:t>
      </w:r>
    </w:p>
    <w:p w14:paraId="55852EE4" w14:textId="1013129F" w:rsidR="00C805C2" w:rsidRDefault="00C805C2" w:rsidP="00C805C2">
      <w:r>
        <w:tab/>
        <w:t>B.  Dimensions</w:t>
      </w:r>
    </w:p>
    <w:p w14:paraId="7164BBA3" w14:textId="46BE0DF1" w:rsidR="00C04452" w:rsidRDefault="00C04452" w:rsidP="00C805C2">
      <w:r>
        <w:tab/>
      </w:r>
      <w:r>
        <w:tab/>
        <w:t>1. PGV-1</w:t>
      </w:r>
      <w:r w:rsidR="00BD4746">
        <w:t>51</w:t>
      </w:r>
    </w:p>
    <w:p w14:paraId="407F621D" w14:textId="563D864E" w:rsidR="00C04452" w:rsidRDefault="00C04452" w:rsidP="004B038D">
      <w:pPr>
        <w:pStyle w:val="ListParagraph"/>
        <w:numPr>
          <w:ilvl w:val="3"/>
          <w:numId w:val="1"/>
        </w:numPr>
      </w:pPr>
      <w:r>
        <w:t xml:space="preserve">Height: </w:t>
      </w:r>
      <w:r w:rsidR="001F5A68">
        <w:t>7½</w:t>
      </w:r>
      <w:r w:rsidR="00E853D7" w:rsidRPr="00E853D7">
        <w:rPr>
          <w:rFonts w:ascii="Calibri" w:hAnsi="Calibri" w:cs="Calibri"/>
        </w:rPr>
        <w:t>"</w:t>
      </w:r>
      <w:r w:rsidR="004B038D">
        <w:rPr>
          <w:rFonts w:ascii="Calibri" w:hAnsi="Calibri" w:cs="Calibri"/>
        </w:rPr>
        <w:t xml:space="preserve"> (19 cm)</w:t>
      </w:r>
    </w:p>
    <w:p w14:paraId="71E3BCC9" w14:textId="5437DF8A" w:rsidR="00C04452" w:rsidRDefault="00C04452" w:rsidP="004B038D">
      <w:pPr>
        <w:pStyle w:val="ListParagraph"/>
        <w:numPr>
          <w:ilvl w:val="3"/>
          <w:numId w:val="1"/>
        </w:numPr>
      </w:pPr>
      <w:r>
        <w:t xml:space="preserve">Length: </w:t>
      </w:r>
      <w:r w:rsidR="001F5A68">
        <w:t>5¾</w:t>
      </w:r>
      <w:r w:rsidR="00E853D7" w:rsidRPr="00E853D7">
        <w:rPr>
          <w:rFonts w:ascii="Calibri" w:hAnsi="Calibri" w:cs="Calibri"/>
        </w:rPr>
        <w:t>"</w:t>
      </w:r>
      <w:r w:rsidR="004B038D">
        <w:rPr>
          <w:rFonts w:ascii="Calibri" w:hAnsi="Calibri" w:cs="Calibri"/>
        </w:rPr>
        <w:t xml:space="preserve"> (15 cm)</w:t>
      </w:r>
    </w:p>
    <w:p w14:paraId="48CE6B72" w14:textId="5FCA4737" w:rsidR="00C04452" w:rsidRDefault="00C04452" w:rsidP="004B038D">
      <w:pPr>
        <w:pStyle w:val="ListParagraph"/>
        <w:numPr>
          <w:ilvl w:val="3"/>
          <w:numId w:val="1"/>
        </w:numPr>
      </w:pPr>
      <w:r>
        <w:t>Width:</w:t>
      </w:r>
      <w:r w:rsidR="001F5A68">
        <w:t xml:space="preserve"> 4</w:t>
      </w:r>
      <w:r>
        <w:t>½</w:t>
      </w:r>
      <w:r w:rsidR="00E853D7" w:rsidRPr="00E853D7">
        <w:rPr>
          <w:rFonts w:ascii="Calibri" w:hAnsi="Calibri" w:cs="Calibri"/>
        </w:rPr>
        <w:t>"</w:t>
      </w:r>
      <w:r w:rsidR="004B038D">
        <w:rPr>
          <w:rFonts w:ascii="Calibri" w:hAnsi="Calibri" w:cs="Calibri"/>
        </w:rPr>
        <w:t xml:space="preserve"> (11 cm)</w:t>
      </w:r>
    </w:p>
    <w:p w14:paraId="31FCDB24" w14:textId="0429A887" w:rsidR="00C04452" w:rsidRDefault="00C04452" w:rsidP="00C805C2">
      <w:r>
        <w:tab/>
      </w:r>
      <w:r>
        <w:tab/>
        <w:t>2. PGV-</w:t>
      </w:r>
      <w:r w:rsidR="00BD4746">
        <w:t>201</w:t>
      </w:r>
    </w:p>
    <w:p w14:paraId="4C6FCF0A" w14:textId="0A3B78ED" w:rsidR="00C04452" w:rsidRDefault="00C04452" w:rsidP="004B038D">
      <w:pPr>
        <w:pStyle w:val="ListParagraph"/>
        <w:numPr>
          <w:ilvl w:val="3"/>
          <w:numId w:val="2"/>
        </w:numPr>
      </w:pPr>
      <w:r>
        <w:t xml:space="preserve">Height: </w:t>
      </w:r>
      <w:r w:rsidR="001F5A68">
        <w:t>8</w:t>
      </w:r>
      <w:r w:rsidR="00E853D7" w:rsidRPr="00E853D7">
        <w:rPr>
          <w:rFonts w:ascii="Calibri" w:hAnsi="Calibri" w:cs="Calibri"/>
        </w:rPr>
        <w:t>"</w:t>
      </w:r>
      <w:r w:rsidR="004B038D">
        <w:rPr>
          <w:rFonts w:ascii="Calibri" w:hAnsi="Calibri" w:cs="Calibri"/>
        </w:rPr>
        <w:t xml:space="preserve"> (20 cm)</w:t>
      </w:r>
    </w:p>
    <w:p w14:paraId="7866A01A" w14:textId="2CFAF8E6" w:rsidR="00C04452" w:rsidRDefault="00C04452" w:rsidP="004B038D">
      <w:pPr>
        <w:pStyle w:val="ListParagraph"/>
        <w:numPr>
          <w:ilvl w:val="3"/>
          <w:numId w:val="2"/>
        </w:numPr>
      </w:pPr>
      <w:r>
        <w:t xml:space="preserve">Length: </w:t>
      </w:r>
      <w:r w:rsidR="001F5A68">
        <w:t>6</w:t>
      </w:r>
      <w:r w:rsidR="00E853D7">
        <w:t>¾</w:t>
      </w:r>
      <w:r w:rsidR="00E853D7" w:rsidRPr="00E853D7">
        <w:rPr>
          <w:rFonts w:ascii="Calibri" w:hAnsi="Calibri" w:cs="Calibri"/>
        </w:rPr>
        <w:t>"</w:t>
      </w:r>
      <w:r w:rsidR="004B038D">
        <w:rPr>
          <w:rFonts w:ascii="Calibri" w:hAnsi="Calibri" w:cs="Calibri"/>
        </w:rPr>
        <w:t xml:space="preserve"> (17 cm)</w:t>
      </w:r>
    </w:p>
    <w:p w14:paraId="1418EDC0" w14:textId="7515F1F1" w:rsidR="00C04452" w:rsidRDefault="00C04452" w:rsidP="004B038D">
      <w:pPr>
        <w:pStyle w:val="ListParagraph"/>
        <w:numPr>
          <w:ilvl w:val="3"/>
          <w:numId w:val="2"/>
        </w:numPr>
      </w:pPr>
      <w:r>
        <w:t xml:space="preserve">Width: </w:t>
      </w:r>
      <w:r w:rsidR="001F5A68">
        <w:t>5</w:t>
      </w:r>
      <w:r>
        <w:t>¼</w:t>
      </w:r>
      <w:r w:rsidR="00E853D7" w:rsidRPr="00E853D7">
        <w:rPr>
          <w:rFonts w:ascii="Calibri" w:hAnsi="Calibri" w:cs="Calibri"/>
        </w:rPr>
        <w:t>"</w:t>
      </w:r>
      <w:r w:rsidR="004B038D">
        <w:rPr>
          <w:rFonts w:ascii="Calibri" w:hAnsi="Calibri" w:cs="Calibri"/>
        </w:rPr>
        <w:t xml:space="preserve"> (13 cm)</w:t>
      </w:r>
    </w:p>
    <w:p w14:paraId="1B658C3C" w14:textId="4D32EB94" w:rsidR="00C805C2" w:rsidRDefault="00C805C2" w:rsidP="00C805C2">
      <w:r>
        <w:tab/>
        <w:t>C. Material description</w:t>
      </w:r>
    </w:p>
    <w:p w14:paraId="21C19717" w14:textId="358470DF" w:rsidR="00C805C2" w:rsidRDefault="00C805C2" w:rsidP="00C805C2">
      <w:r>
        <w:tab/>
      </w:r>
      <w:r>
        <w:tab/>
        <w:t xml:space="preserve">1. </w:t>
      </w:r>
      <w:r w:rsidR="00633AD9">
        <w:t xml:space="preserve">The body shall be constructed of </w:t>
      </w:r>
      <w:r w:rsidR="003D326D">
        <w:t>corrosion</w:t>
      </w:r>
      <w:r w:rsidR="00E853D7">
        <w:t>-</w:t>
      </w:r>
      <w:r w:rsidR="00633AD9">
        <w:t xml:space="preserve"> and UV-resistant PVC.</w:t>
      </w:r>
    </w:p>
    <w:p w14:paraId="1ACE172A" w14:textId="34EAE844" w:rsidR="00C805C2" w:rsidRDefault="00C805C2" w:rsidP="00C805C2">
      <w:r>
        <w:tab/>
      </w:r>
      <w:r>
        <w:tab/>
      </w:r>
      <w:r w:rsidR="00107B08">
        <w:t>2</w:t>
      </w:r>
      <w:r>
        <w:t xml:space="preserve">. </w:t>
      </w:r>
      <w:r w:rsidR="00633AD9">
        <w:t>The diaphragm shall feature a double</w:t>
      </w:r>
      <w:r w:rsidR="00E853D7">
        <w:t>-</w:t>
      </w:r>
      <w:r w:rsidR="00633AD9">
        <w:t xml:space="preserve">beaded </w:t>
      </w:r>
      <w:r w:rsidR="00530354">
        <w:t xml:space="preserve">seal design and be constructed of </w:t>
      </w:r>
      <w:r w:rsidR="00530354">
        <w:tab/>
      </w:r>
      <w:r w:rsidR="00530354">
        <w:tab/>
      </w:r>
      <w:r w:rsidR="00530354">
        <w:tab/>
        <w:t>Santoprene</w:t>
      </w:r>
      <w:r w:rsidR="00E853D7">
        <w:t>™ thermoplastic vulcanizate.</w:t>
      </w:r>
    </w:p>
    <w:p w14:paraId="6F5B5682" w14:textId="77777777" w:rsidR="00BB2FCD" w:rsidRDefault="00BB2FCD" w:rsidP="00BB2FCD">
      <w:r>
        <w:t>2.2  Warranty</w:t>
      </w:r>
    </w:p>
    <w:p w14:paraId="4F3E0442" w14:textId="32DD3698" w:rsidR="00BB2FCD" w:rsidRDefault="00BB2FCD" w:rsidP="004B038D">
      <w:pPr>
        <w:ind w:left="720"/>
      </w:pPr>
      <w:r>
        <w:t xml:space="preserve">A. </w:t>
      </w:r>
      <w:r w:rsidR="00D62445">
        <w:t xml:space="preserve">The valve shall be installed in accordance with the manufacturer’s published instructions.  The valve shall carry a conditional two-year exchange warranty. The </w:t>
      </w:r>
      <w:r w:rsidR="005930DF">
        <w:t>irrigation valve(s) shall be the PGV series irrigation valve as manufactured by Hunter Industries Incorporated, San Marcos, California.</w:t>
      </w:r>
    </w:p>
    <w:p w14:paraId="51C57235" w14:textId="4C9D6AD0" w:rsidR="00176964" w:rsidRDefault="00BB2FCD" w:rsidP="00292BFE">
      <w:r>
        <w:rPr>
          <w:b/>
        </w:rPr>
        <w:t xml:space="preserve">Part 3 – </w:t>
      </w:r>
      <w:r w:rsidR="00F62757">
        <w:rPr>
          <w:b/>
        </w:rPr>
        <w:t>Function and Operation</w:t>
      </w:r>
      <w:r w:rsidR="00C803D5">
        <w:tab/>
      </w:r>
    </w:p>
    <w:p w14:paraId="1EBB2B48" w14:textId="153702CA" w:rsidR="00176964" w:rsidRDefault="00D75D14" w:rsidP="00BB2FCD">
      <w:r>
        <w:t>3.</w:t>
      </w:r>
      <w:r w:rsidR="00FE5465">
        <w:t>1</w:t>
      </w:r>
      <w:r w:rsidR="00176964">
        <w:t xml:space="preserve">  </w:t>
      </w:r>
      <w:r>
        <w:t xml:space="preserve">Electric </w:t>
      </w:r>
      <w:r w:rsidR="00CF59E6">
        <w:t>r</w:t>
      </w:r>
      <w:r>
        <w:t xml:space="preserve">emote </w:t>
      </w:r>
      <w:r w:rsidR="00CF59E6">
        <w:t>c</w:t>
      </w:r>
      <w:r>
        <w:t xml:space="preserve">ontrol </w:t>
      </w:r>
      <w:r w:rsidR="00CF59E6">
        <w:t>v</w:t>
      </w:r>
      <w:r>
        <w:t>alve</w:t>
      </w:r>
    </w:p>
    <w:p w14:paraId="0D781C56" w14:textId="6B844067" w:rsidR="00176964" w:rsidRDefault="00176964" w:rsidP="004B038D">
      <w:pPr>
        <w:ind w:left="720"/>
      </w:pPr>
      <w:r>
        <w:t xml:space="preserve">A. </w:t>
      </w:r>
      <w:r w:rsidR="00643FEF">
        <w:t>Molded plastic body</w:t>
      </w:r>
      <w:r w:rsidR="00CE500C">
        <w:t>, normally closed, diaphragm type with optional manual flow adjustment, and operated by a 24 VAC solenoid for residential and commercial/institutional applications.</w:t>
      </w:r>
    </w:p>
    <w:p w14:paraId="53E3C50A" w14:textId="4BA7B1CB" w:rsidR="00D75D14" w:rsidRDefault="00D75D14" w:rsidP="00D75D14">
      <w:r>
        <w:tab/>
        <w:t>B. Operating pressure</w:t>
      </w:r>
    </w:p>
    <w:p w14:paraId="640AFA81" w14:textId="7B5C94AE" w:rsidR="00D75D14" w:rsidRDefault="00D75D14" w:rsidP="00D75D14">
      <w:r>
        <w:lastRenderedPageBreak/>
        <w:tab/>
      </w:r>
      <w:r>
        <w:tab/>
        <w:t xml:space="preserve">1. </w:t>
      </w:r>
      <w:r w:rsidR="00841D54">
        <w:t>Recommended pressure range: 20 to 150 PSI</w:t>
      </w:r>
      <w:r w:rsidR="004B038D">
        <w:t xml:space="preserve"> (1.5 to 10 bar; 150 to 1000 kPa)</w:t>
      </w:r>
    </w:p>
    <w:p w14:paraId="143919F5" w14:textId="29C0D28B" w:rsidR="00D75D14" w:rsidRDefault="00D75D14" w:rsidP="00D75D14">
      <w:r>
        <w:tab/>
        <w:t xml:space="preserve">C. Flow </w:t>
      </w:r>
      <w:r w:rsidR="00841D54">
        <w:t>rate</w:t>
      </w:r>
    </w:p>
    <w:p w14:paraId="6DA57F7A" w14:textId="6559F7BC" w:rsidR="00D75D14" w:rsidRDefault="00D75D14" w:rsidP="00D75D14">
      <w:r>
        <w:tab/>
      </w:r>
      <w:r>
        <w:tab/>
        <w:t xml:space="preserve">1. </w:t>
      </w:r>
      <w:r w:rsidR="00B949DA">
        <w:t>PGV-151: 20</w:t>
      </w:r>
      <w:r w:rsidR="00841D54">
        <w:t xml:space="preserve"> to </w:t>
      </w:r>
      <w:r w:rsidR="00B949DA">
        <w:t>12</w:t>
      </w:r>
      <w:r w:rsidR="00841D54">
        <w:t>0 GPM</w:t>
      </w:r>
      <w:r w:rsidR="004B038D">
        <w:t xml:space="preserve"> (5 to 27 m</w:t>
      </w:r>
      <w:r w:rsidR="004B038D" w:rsidRPr="004B038D">
        <w:rPr>
          <w:vertAlign w:val="superscript"/>
        </w:rPr>
        <w:t>3</w:t>
      </w:r>
      <w:r w:rsidR="004B038D">
        <w:t>/hr; 75 to 450 l/min)</w:t>
      </w:r>
    </w:p>
    <w:p w14:paraId="0118635C" w14:textId="4781CDF3" w:rsidR="00B949DA" w:rsidRDefault="00B949DA" w:rsidP="00D75D14">
      <w:r>
        <w:tab/>
      </w:r>
      <w:r>
        <w:tab/>
        <w:t xml:space="preserve">2. PGV-201: </w:t>
      </w:r>
      <w:r w:rsidR="00A02E04">
        <w:t>20 to 150 GPM</w:t>
      </w:r>
      <w:r w:rsidR="004B038D">
        <w:t xml:space="preserve"> (5 to 34 m</w:t>
      </w:r>
      <w:r w:rsidR="004B038D" w:rsidRPr="004B038D">
        <w:rPr>
          <w:vertAlign w:val="superscript"/>
        </w:rPr>
        <w:t>3</w:t>
      </w:r>
      <w:r w:rsidR="004B038D">
        <w:t>/hr; 75 to 570 l/min)</w:t>
      </w:r>
    </w:p>
    <w:p w14:paraId="1FA8739A" w14:textId="59C6B745" w:rsidR="00D11ADF" w:rsidRDefault="00D11ADF" w:rsidP="00D75D14">
      <w:r>
        <w:tab/>
        <w:t xml:space="preserve">D. Solenoid </w:t>
      </w:r>
      <w:r w:rsidR="00CF59E6">
        <w:t>p</w:t>
      </w:r>
      <w:r>
        <w:t>ower</w:t>
      </w:r>
    </w:p>
    <w:p w14:paraId="1C6790BF" w14:textId="3771C3A9" w:rsidR="00D11ADF" w:rsidRDefault="00D11ADF" w:rsidP="004B038D">
      <w:pPr>
        <w:ind w:left="1440"/>
      </w:pPr>
      <w:r>
        <w:t xml:space="preserve">1. </w:t>
      </w:r>
      <w:r w:rsidR="00CE500C">
        <w:t>The standard solenoid shall be a 24 VAC unit with a 350 mA inrush current and 190 mA holding current at 60 cycles and a 370 mA inrush current and 210 mA holding current at 50 cycles. When specified, the unit shall be equipped with a DC latching solenoid for use with 12</w:t>
      </w:r>
      <w:r w:rsidR="002D22BE">
        <w:t>-</w:t>
      </w:r>
      <w:r w:rsidR="00CE500C">
        <w:t>volt battery</w:t>
      </w:r>
      <w:r w:rsidR="002D22BE">
        <w:t>-</w:t>
      </w:r>
      <w:r w:rsidR="00CE500C">
        <w:t xml:space="preserve">operated controllers. The solenoid shall be an encapsulated, one-piece unit with </w:t>
      </w:r>
      <w:r w:rsidR="00CF59E6">
        <w:t xml:space="preserve">a </w:t>
      </w:r>
      <w:r w:rsidR="00CE500C">
        <w:t>captive plunger. It shall be equipped with manual internal bleed capability to release the upper chamber water to the downstream piping, allowing the valve to open. The valve shall have an internal manual bleed screw that provides an additional method for manual operation of the valve.</w:t>
      </w:r>
    </w:p>
    <w:p w14:paraId="5356440B" w14:textId="2F7D4405" w:rsidR="00CF59E6" w:rsidRDefault="00CF59E6" w:rsidP="00D75D14"/>
    <w:p w14:paraId="7AA93DFD" w14:textId="77777777" w:rsidR="00CF59E6" w:rsidRDefault="00CF59E6" w:rsidP="00CF59E6">
      <w:pPr>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Santoprene is a trademark of Exxon Mobil Corporation.</w:t>
      </w:r>
    </w:p>
    <w:p w14:paraId="521D2A6E" w14:textId="5037D5BF" w:rsidR="009309FA" w:rsidRDefault="00CF59E6">
      <w:r>
        <w:rPr>
          <w:rFonts w:ascii="Calibri" w:eastAsia="Times New Roman" w:hAnsi="Calibri" w:cs="Calibri"/>
          <w:color w:val="000000" w:themeColor="text1"/>
          <w:sz w:val="16"/>
          <w:szCs w:val="16"/>
        </w:rPr>
        <w:t>© 2019 Hunter Industries Inc. Hunter, the Hunter logo, and all other trademarks are property of Hunter Industries, registered in the U.S. and other countries.</w:t>
      </w:r>
    </w:p>
    <w:sectPr w:rsidR="0093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6BC3"/>
    <w:multiLevelType w:val="hybridMultilevel"/>
    <w:tmpl w:val="E756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368BC"/>
    <w:multiLevelType w:val="hybridMultilevel"/>
    <w:tmpl w:val="6214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A"/>
    <w:rsid w:val="00107B08"/>
    <w:rsid w:val="00144E94"/>
    <w:rsid w:val="001504DC"/>
    <w:rsid w:val="00176964"/>
    <w:rsid w:val="001A5B3B"/>
    <w:rsid w:val="001D63D9"/>
    <w:rsid w:val="001E0DA2"/>
    <w:rsid w:val="001E30BD"/>
    <w:rsid w:val="001E5764"/>
    <w:rsid w:val="001F5A68"/>
    <w:rsid w:val="00292BFE"/>
    <w:rsid w:val="002D22BE"/>
    <w:rsid w:val="00344BB2"/>
    <w:rsid w:val="00350E7B"/>
    <w:rsid w:val="00386AA2"/>
    <w:rsid w:val="003D326D"/>
    <w:rsid w:val="004B038D"/>
    <w:rsid w:val="0050797F"/>
    <w:rsid w:val="005161BE"/>
    <w:rsid w:val="00530354"/>
    <w:rsid w:val="00560F67"/>
    <w:rsid w:val="005930DF"/>
    <w:rsid w:val="005A7C77"/>
    <w:rsid w:val="005B27AE"/>
    <w:rsid w:val="006146B4"/>
    <w:rsid w:val="00633AD9"/>
    <w:rsid w:val="00643FEF"/>
    <w:rsid w:val="006D5436"/>
    <w:rsid w:val="007760C8"/>
    <w:rsid w:val="007D63D9"/>
    <w:rsid w:val="007E008C"/>
    <w:rsid w:val="007E00C5"/>
    <w:rsid w:val="008276A3"/>
    <w:rsid w:val="0083752E"/>
    <w:rsid w:val="00841D54"/>
    <w:rsid w:val="009309FA"/>
    <w:rsid w:val="009435CD"/>
    <w:rsid w:val="0099489A"/>
    <w:rsid w:val="009C1899"/>
    <w:rsid w:val="009C4A4E"/>
    <w:rsid w:val="00A02E04"/>
    <w:rsid w:val="00A26EB3"/>
    <w:rsid w:val="00AB6EE3"/>
    <w:rsid w:val="00B309D0"/>
    <w:rsid w:val="00B949DA"/>
    <w:rsid w:val="00BB2FCD"/>
    <w:rsid w:val="00BB6A73"/>
    <w:rsid w:val="00BD4746"/>
    <w:rsid w:val="00C04452"/>
    <w:rsid w:val="00C803D5"/>
    <w:rsid w:val="00C805C2"/>
    <w:rsid w:val="00C90EA3"/>
    <w:rsid w:val="00C93F9C"/>
    <w:rsid w:val="00CD29D2"/>
    <w:rsid w:val="00CE14BB"/>
    <w:rsid w:val="00CE500C"/>
    <w:rsid w:val="00CF59E6"/>
    <w:rsid w:val="00D11ADF"/>
    <w:rsid w:val="00D405CB"/>
    <w:rsid w:val="00D62445"/>
    <w:rsid w:val="00D75D14"/>
    <w:rsid w:val="00E123F7"/>
    <w:rsid w:val="00E853D7"/>
    <w:rsid w:val="00F62757"/>
    <w:rsid w:val="00F62838"/>
    <w:rsid w:val="00F81F28"/>
    <w:rsid w:val="00F938CB"/>
    <w:rsid w:val="00FB35FA"/>
    <w:rsid w:val="00FC0508"/>
    <w:rsid w:val="00FE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C480"/>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3D7"/>
    <w:rPr>
      <w:rFonts w:ascii="Segoe UI" w:hAnsi="Segoe UI" w:cs="Segoe UI"/>
      <w:sz w:val="18"/>
      <w:szCs w:val="18"/>
    </w:rPr>
  </w:style>
  <w:style w:type="paragraph" w:styleId="ListParagraph">
    <w:name w:val="List Paragraph"/>
    <w:basedOn w:val="Normal"/>
    <w:uiPriority w:val="34"/>
    <w:qFormat/>
    <w:rsid w:val="00E85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12</cp:revision>
  <dcterms:created xsi:type="dcterms:W3CDTF">2019-08-08T23:08:00Z</dcterms:created>
  <dcterms:modified xsi:type="dcterms:W3CDTF">2019-09-10T19:04:00Z</dcterms:modified>
</cp:coreProperties>
</file>